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A54B6">
      <w:pPr>
        <w:pStyle w:val="2"/>
        <w:ind w:firstLine="0" w:firstLineChars="0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cs="Times New Roman"/>
          <w:b w:val="0"/>
          <w:sz w:val="32"/>
          <w:szCs w:val="32"/>
        </w:rPr>
        <w:t>附件</w:t>
      </w:r>
      <w:r>
        <w:rPr>
          <w:rFonts w:ascii="Times New Roman" w:hAnsi="Times New Roman" w:cs="Times New Roman"/>
          <w:b w:val="0"/>
          <w:sz w:val="32"/>
          <w:szCs w:val="32"/>
        </w:rPr>
        <w:t>1</w:t>
      </w:r>
      <w:bookmarkStart w:id="2" w:name="_GoBack"/>
      <w:bookmarkEnd w:id="2"/>
    </w:p>
    <w:p w14:paraId="611A0AAE">
      <w:pPr>
        <w:pStyle w:val="2"/>
        <w:adjustRightInd w:val="0"/>
        <w:snapToGrid w:val="0"/>
        <w:spacing w:before="0" w:after="0" w:line="640" w:lineRule="exact"/>
        <w:ind w:right="0" w:rightChars="0" w:firstLine="0" w:firstLineChars="0"/>
        <w:jc w:val="center"/>
        <w:rPr>
          <w:rFonts w:hint="eastAsia" w:ascii="方正小标宋简体" w:hAnsi="仿宋" w:eastAsia="方正小标宋简体"/>
          <w:b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b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b w:val="0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b w:val="0"/>
          <w:sz w:val="44"/>
          <w:szCs w:val="44"/>
          <w:lang w:eastAsia="zh-CN"/>
        </w:rPr>
        <w:t>秋</w:t>
      </w:r>
      <w:r>
        <w:rPr>
          <w:rFonts w:hint="eastAsia" w:ascii="方正小标宋简体" w:hAnsi="仿宋" w:eastAsia="方正小标宋简体"/>
          <w:b w:val="0"/>
          <w:sz w:val="44"/>
          <w:szCs w:val="44"/>
        </w:rPr>
        <w:t>季药品监管与医药产业发展法学</w:t>
      </w:r>
    </w:p>
    <w:p w14:paraId="10C790BE">
      <w:pPr>
        <w:pStyle w:val="2"/>
        <w:adjustRightInd w:val="0"/>
        <w:snapToGrid w:val="0"/>
        <w:spacing w:before="0" w:after="0" w:line="640" w:lineRule="exact"/>
        <w:ind w:right="0" w:rightChars="0" w:firstLine="0" w:firstLineChars="0"/>
        <w:jc w:val="center"/>
        <w:rPr>
          <w:rFonts w:ascii="方正小标宋简体" w:hAnsi="仿宋" w:eastAsia="方正小标宋简体"/>
          <w:b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sz w:val="44"/>
          <w:szCs w:val="44"/>
        </w:rPr>
        <w:t>高级专业人才同等学力研修班课程设置</w:t>
      </w:r>
    </w:p>
    <w:p w14:paraId="3404D070">
      <w:pPr>
        <w:spacing w:line="580" w:lineRule="exact"/>
        <w:ind w:firstLine="640"/>
        <w:rPr>
          <w:rFonts w:ascii="Times New Roman" w:hAnsi="仿宋" w:cs="Times New Roman"/>
          <w:kern w:val="0"/>
          <w:sz w:val="32"/>
          <w:szCs w:val="32"/>
          <w:shd w:val="clear" w:color="auto" w:fill="FFFFFF"/>
        </w:rPr>
      </w:pPr>
    </w:p>
    <w:p w14:paraId="16BAFF8E">
      <w:pPr>
        <w:spacing w:line="580" w:lineRule="exact"/>
        <w:ind w:firstLine="640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一、公共课</w:t>
      </w:r>
    </w:p>
    <w:p w14:paraId="062EFF29"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公共学位课：英语、习近平法治思想；</w:t>
      </w:r>
    </w:p>
    <w:p w14:paraId="28DE52EB"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学位基础课：宪法学、法理学、中国法制史、刑法学、民法学；</w:t>
      </w:r>
    </w:p>
    <w:p w14:paraId="749B2B31"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论文写作与指导。</w:t>
      </w:r>
    </w:p>
    <w:p w14:paraId="28863B6C">
      <w:pPr>
        <w:spacing w:line="580" w:lineRule="exact"/>
        <w:ind w:firstLine="640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bookmarkStart w:id="0" w:name="_Toc31432"/>
      <w:bookmarkStart w:id="1" w:name="_Toc7327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二、专业课</w:t>
      </w:r>
      <w:bookmarkEnd w:id="0"/>
      <w:bookmarkEnd w:id="1"/>
    </w:p>
    <w:tbl>
      <w:tblPr>
        <w:tblStyle w:val="7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428"/>
        <w:gridCol w:w="3434"/>
        <w:gridCol w:w="1476"/>
      </w:tblGrid>
      <w:tr w14:paraId="18A0A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CF096">
            <w:pPr>
              <w:pStyle w:val="5"/>
              <w:widowControl/>
              <w:spacing w:line="315" w:lineRule="atLeast"/>
              <w:jc w:val="center"/>
              <w:rPr>
                <w:rStyle w:val="9"/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</w:t>
            </w:r>
          </w:p>
          <w:p w14:paraId="277C6D5F">
            <w:pPr>
              <w:pStyle w:val="5"/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（编码）</w:t>
            </w:r>
          </w:p>
        </w:tc>
        <w:tc>
          <w:tcPr>
            <w:tcW w:w="1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F1532A">
            <w:pPr>
              <w:pStyle w:val="5"/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学位专业课</w:t>
            </w:r>
          </w:p>
        </w:tc>
        <w:tc>
          <w:tcPr>
            <w:tcW w:w="1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286BED">
            <w:pPr>
              <w:pStyle w:val="5"/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专业选修课</w:t>
            </w:r>
          </w:p>
        </w:tc>
        <w:tc>
          <w:tcPr>
            <w:tcW w:w="8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6BF8D">
            <w:pPr>
              <w:pStyle w:val="5"/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培养方案</w:t>
            </w:r>
          </w:p>
        </w:tc>
      </w:tr>
      <w:tr w14:paraId="39E99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D2C3D">
            <w:pPr>
              <w:pStyle w:val="5"/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经济法学</w:t>
            </w:r>
            <w:r>
              <w:rPr>
                <w:rStyle w:val="9"/>
                <w:rFonts w:hint="default" w:ascii="Times New Roman" w:hAnsi="Times New Roman" w:eastAsia="仿宋_GB2312"/>
                <w:bCs/>
                <w:sz w:val="28"/>
                <w:szCs w:val="28"/>
              </w:rPr>
              <w:t>01</w:t>
            </w:r>
          </w:p>
        </w:tc>
        <w:tc>
          <w:tcPr>
            <w:tcW w:w="1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8D5CB">
            <w:pPr>
              <w:pStyle w:val="5"/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经济法理论、企业与公司法学、竞争法学、金融法学</w:t>
            </w:r>
          </w:p>
        </w:tc>
        <w:tc>
          <w:tcPr>
            <w:tcW w:w="1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D1D09">
            <w:pPr>
              <w:pStyle w:val="5"/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公司法前沿理论、房地产</w:t>
            </w:r>
          </w:p>
          <w:p w14:paraId="740BB342">
            <w:pPr>
              <w:pStyle w:val="5"/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法学、破产法学、经济法学、财税法学、消费者法、法务会计、审计法、纳税筹划、信托法、证券法、药品医疗器械化妆品行业发展前沿分析、药品监管政策法规</w:t>
            </w:r>
          </w:p>
          <w:p w14:paraId="39AC780D">
            <w:pPr>
              <w:pStyle w:val="5"/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解读</w:t>
            </w:r>
          </w:p>
        </w:tc>
        <w:tc>
          <w:tcPr>
            <w:tcW w:w="8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B34E6F">
            <w:pPr>
              <w:pStyle w:val="5"/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经济法学</w:t>
            </w:r>
          </w:p>
          <w:p w14:paraId="15A5EE29">
            <w:pPr>
              <w:pStyle w:val="5"/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培养方案</w:t>
            </w:r>
          </w:p>
        </w:tc>
      </w:tr>
      <w:tr w14:paraId="4FD43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7" w:hRule="atLeast"/>
        </w:trPr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B0952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bCs/>
                <w:sz w:val="28"/>
                <w:szCs w:val="28"/>
              </w:rPr>
              <w:t>民商法学02</w:t>
            </w:r>
          </w:p>
        </w:tc>
        <w:tc>
          <w:tcPr>
            <w:tcW w:w="1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63FF5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民法总论、民法物权、民法债权（含合同法）、商法（</w:t>
            </w:r>
          </w:p>
          <w:p w14:paraId="26509495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公司与证券法）</w:t>
            </w:r>
          </w:p>
        </w:tc>
        <w:tc>
          <w:tcPr>
            <w:tcW w:w="1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24827A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婚姻家庭法、侵权法、破产与重整法、电子商务法、</w:t>
            </w:r>
          </w:p>
          <w:p w14:paraId="13A098D5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保险法、信托法、民法前沿问题研讨、商法前沿问题</w:t>
            </w:r>
          </w:p>
          <w:p w14:paraId="72E0D5EE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研讨、药品医疗器械化妆品行业发展前沿分析、药品</w:t>
            </w:r>
          </w:p>
          <w:p w14:paraId="4325229F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监管政策法规解读</w:t>
            </w:r>
          </w:p>
        </w:tc>
        <w:tc>
          <w:tcPr>
            <w:tcW w:w="8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5E900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民商法学</w:t>
            </w:r>
          </w:p>
          <w:p w14:paraId="0C9D2A35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培养方案</w:t>
            </w:r>
          </w:p>
        </w:tc>
      </w:tr>
      <w:tr w14:paraId="69074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220CD">
            <w:pPr>
              <w:pStyle w:val="5"/>
              <w:widowControl/>
              <w:spacing w:line="315" w:lineRule="atLeast"/>
              <w:jc w:val="center"/>
              <w:rPr>
                <w:rStyle w:val="9"/>
                <w:rFonts w:hint="default" w:ascii="Times New Roman" w:hAnsi="Times New Roman" w:eastAsia="仿宋_GB2312"/>
                <w:bCs/>
                <w:sz w:val="28"/>
                <w:szCs w:val="28"/>
                <w:lang w:eastAsia="zh-CN"/>
              </w:rPr>
            </w:pPr>
            <w:r>
              <w:rPr>
                <w:rStyle w:val="9"/>
                <w:rFonts w:hint="default" w:ascii="Times New Roman" w:hAnsi="Times New Roman" w:eastAsia="仿宋_GB2312"/>
                <w:bCs/>
                <w:sz w:val="28"/>
                <w:szCs w:val="28"/>
                <w:lang w:eastAsia="zh-CN"/>
              </w:rPr>
              <w:t>知识产权</w:t>
            </w:r>
          </w:p>
          <w:p w14:paraId="5C84AE3F">
            <w:pPr>
              <w:pStyle w:val="5"/>
              <w:widowControl/>
              <w:spacing w:line="315" w:lineRule="atLeast"/>
              <w:jc w:val="center"/>
              <w:rPr>
                <w:rStyle w:val="9"/>
                <w:rFonts w:hint="default" w:ascii="Times New Roman" w:hAnsi="Times New Roman" w:eastAsia="仿宋_GB2312"/>
                <w:bCs/>
                <w:sz w:val="28"/>
                <w:szCs w:val="28"/>
                <w:lang w:eastAsia="zh-CN"/>
              </w:rPr>
            </w:pPr>
            <w:r>
              <w:rPr>
                <w:rStyle w:val="9"/>
                <w:rFonts w:hint="default" w:ascii="Times New Roman" w:hAnsi="Times New Roman" w:eastAsia="仿宋_GB2312"/>
                <w:bCs/>
                <w:sz w:val="28"/>
                <w:szCs w:val="28"/>
                <w:lang w:eastAsia="zh-CN"/>
              </w:rPr>
              <w:t>法学</w:t>
            </w:r>
          </w:p>
          <w:p w14:paraId="7A870F7A">
            <w:pPr>
              <w:pStyle w:val="5"/>
              <w:widowControl/>
              <w:spacing w:line="315" w:lineRule="atLeast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04</w:t>
            </w:r>
          </w:p>
        </w:tc>
        <w:tc>
          <w:tcPr>
            <w:tcW w:w="1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61A60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知识产权法总论、著作权法、专利法</w:t>
            </w:r>
          </w:p>
          <w:p w14:paraId="25319B97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商标法</w:t>
            </w:r>
          </w:p>
        </w:tc>
        <w:tc>
          <w:tcPr>
            <w:tcW w:w="1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FB6A1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知识产权前沿、知识产权</w:t>
            </w:r>
          </w:p>
          <w:p w14:paraId="0C6699FF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经典案例分析、知识产权</w:t>
            </w:r>
          </w:p>
          <w:p w14:paraId="450D24FF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国际保护、反不正当竞争</w:t>
            </w:r>
          </w:p>
          <w:p w14:paraId="2C337D5C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法及其他知识产权、企业</w:t>
            </w:r>
          </w:p>
          <w:p w14:paraId="2B53048D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知识产权风险及其防范、</w:t>
            </w:r>
          </w:p>
          <w:p w14:paraId="30A07DE5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知识产权专题研究、知识</w:t>
            </w:r>
          </w:p>
          <w:p w14:paraId="12C47DC1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产权运营、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药品医疗器械</w:t>
            </w:r>
          </w:p>
          <w:p w14:paraId="11827A48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化妆品行业发展前沿分析、药品监管政策法规解读</w:t>
            </w:r>
          </w:p>
        </w:tc>
        <w:tc>
          <w:tcPr>
            <w:tcW w:w="8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940E0">
            <w:pPr>
              <w:pStyle w:val="5"/>
              <w:widowControl/>
              <w:spacing w:line="315" w:lineRule="atLeast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pacing w:val="-28"/>
                <w:sz w:val="28"/>
                <w:szCs w:val="28"/>
                <w:lang w:eastAsia="zh-CN"/>
              </w:rPr>
              <w:t>知识产权法学培养方案</w:t>
            </w:r>
          </w:p>
        </w:tc>
      </w:tr>
      <w:tr w14:paraId="30516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400B0">
            <w:pPr>
              <w:pStyle w:val="5"/>
              <w:widowControl/>
              <w:spacing w:line="315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/>
                <w:bCs/>
                <w:sz w:val="28"/>
                <w:szCs w:val="28"/>
              </w:rPr>
              <w:t>宪法与行政法学05</w:t>
            </w:r>
          </w:p>
        </w:tc>
        <w:tc>
          <w:tcPr>
            <w:tcW w:w="1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6718C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中国宪法、行政</w:t>
            </w:r>
          </w:p>
          <w:p w14:paraId="0BD83D4F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法学、行政诉讼</w:t>
            </w:r>
          </w:p>
          <w:p w14:paraId="43B14959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法学、比较宪法与比较行政法</w:t>
            </w:r>
          </w:p>
        </w:tc>
        <w:tc>
          <w:tcPr>
            <w:tcW w:w="1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973550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港澳基本法、国家赔偿法、国家监察法、立法法、社会热点问题的行政法分析、</w:t>
            </w:r>
          </w:p>
          <w:p w14:paraId="709E3674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宪法学前沿问题研究、行政程序法、药品医疗器械</w:t>
            </w:r>
          </w:p>
          <w:p w14:paraId="260F5066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化妆品行业发展前沿分析、药品监管政策法规解读</w:t>
            </w:r>
          </w:p>
        </w:tc>
        <w:tc>
          <w:tcPr>
            <w:tcW w:w="8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718F1">
            <w:pPr>
              <w:pStyle w:val="5"/>
              <w:widowControl/>
              <w:spacing w:line="315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pacing w:val="-28"/>
                <w:sz w:val="28"/>
                <w:szCs w:val="28"/>
              </w:rPr>
              <w:t>宪法与行政法学培养方案</w:t>
            </w:r>
          </w:p>
        </w:tc>
      </w:tr>
      <w:tr w14:paraId="13B2D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52FFE1">
            <w:pPr>
              <w:pStyle w:val="5"/>
              <w:widowControl/>
              <w:spacing w:line="315" w:lineRule="atLeast"/>
              <w:jc w:val="center"/>
              <w:rPr>
                <w:rStyle w:val="9"/>
                <w:rFonts w:hint="default" w:ascii="Times New Roman" w:hAnsi="Times New Roman" w:eastAsia="仿宋_GB2312"/>
                <w:bCs/>
                <w:sz w:val="28"/>
                <w:szCs w:val="28"/>
                <w:lang w:eastAsia="zh-CN"/>
              </w:rPr>
            </w:pPr>
            <w:r>
              <w:rPr>
                <w:rStyle w:val="9"/>
                <w:rFonts w:hint="default" w:ascii="Times New Roman" w:hAnsi="Times New Roman" w:eastAsia="仿宋_GB2312"/>
                <w:bCs/>
                <w:sz w:val="28"/>
                <w:szCs w:val="28"/>
                <w:lang w:eastAsia="zh-CN"/>
              </w:rPr>
              <w:t>医事法学</w:t>
            </w:r>
          </w:p>
          <w:p w14:paraId="747BB5CF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Style w:val="9"/>
                <w:rFonts w:hint="default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 xml:space="preserve">    09</w:t>
            </w:r>
          </w:p>
        </w:tc>
        <w:tc>
          <w:tcPr>
            <w:tcW w:w="1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AA747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证据法学、刑事</w:t>
            </w:r>
          </w:p>
          <w:p w14:paraId="395B995D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诉讼法学、民事</w:t>
            </w:r>
          </w:p>
          <w:p w14:paraId="31D168D3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诉讼法学、仲裁</w:t>
            </w:r>
          </w:p>
          <w:p w14:paraId="26D4C5B0"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法学</w:t>
            </w:r>
          </w:p>
          <w:p w14:paraId="3450FFEA"/>
          <w:p w14:paraId="167B54E8">
            <w:pPr>
              <w:pStyle w:val="5"/>
              <w:widowControl/>
              <w:spacing w:line="315" w:lineRule="atLeast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1025C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医事法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，药事法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，行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政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法与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行政诉讼法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、卫生法</w:t>
            </w:r>
          </w:p>
          <w:p w14:paraId="79DCC9FD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概论、医疗保障法律制度</w:t>
            </w:r>
          </w:p>
          <w:p w14:paraId="259C303E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概论，医院法律制度理论，医疗损害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侵权与诉讼实务、医疗纠纷处理法律事务、</w:t>
            </w:r>
          </w:p>
          <w:p w14:paraId="5BAF74BD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文书写作，医疗纠纷处理</w:t>
            </w:r>
          </w:p>
          <w:p w14:paraId="0997DE13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法律制度概述、医疗事故与医疗损害鉴定概论、医疗</w:t>
            </w:r>
          </w:p>
          <w:p w14:paraId="2F4689F4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纠纷应急与非诉讼解决</w:t>
            </w:r>
          </w:p>
          <w:p w14:paraId="059E013F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策略、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药品医疗器械化妆品行业发展前沿分析、药品</w:t>
            </w:r>
          </w:p>
          <w:p w14:paraId="32E4B233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监管政策法规解读</w:t>
            </w:r>
          </w:p>
        </w:tc>
        <w:tc>
          <w:tcPr>
            <w:tcW w:w="8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93908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/>
                <w:spacing w:val="-28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/>
                <w:spacing w:val="-28"/>
                <w:sz w:val="28"/>
                <w:szCs w:val="28"/>
                <w:lang w:eastAsia="zh-CN"/>
              </w:rPr>
              <w:t>医事法学</w:t>
            </w:r>
          </w:p>
          <w:p w14:paraId="72A584BA">
            <w:pPr>
              <w:pStyle w:val="5"/>
              <w:widowControl/>
              <w:spacing w:line="315" w:lineRule="atLeast"/>
              <w:ind w:firstLine="0" w:firstLineChars="0"/>
              <w:jc w:val="center"/>
              <w:rPr>
                <w:rFonts w:hint="default" w:ascii="Times New Roman" w:hAnsi="Times New Roman" w:eastAsia="仿宋_GB2312"/>
                <w:spacing w:val="-2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pacing w:val="-28"/>
                <w:sz w:val="28"/>
                <w:szCs w:val="28"/>
                <w:lang w:eastAsia="zh-CN"/>
              </w:rPr>
              <w:t>培养方案</w:t>
            </w:r>
          </w:p>
        </w:tc>
      </w:tr>
    </w:tbl>
    <w:p w14:paraId="235B79DC">
      <w:pPr>
        <w:spacing w:line="320" w:lineRule="exact"/>
        <w:ind w:firstLine="0" w:firstLineChars="0"/>
        <w:rPr>
          <w:rFonts w:ascii="黑体" w:hAnsi="黑体" w:eastAsia="黑体"/>
          <w:sz w:val="32"/>
          <w:szCs w:val="32"/>
        </w:rPr>
        <w:sectPr>
          <w:footerReference r:id="rId9" w:type="first"/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531" w:bottom="1984" w:left="1531" w:header="851" w:footer="992" w:gutter="0"/>
          <w:cols w:space="0" w:num="1"/>
          <w:rtlGutter w:val="0"/>
          <w:docGrid w:type="lines" w:linePitch="408" w:charSpace="0"/>
        </w:sectPr>
      </w:pPr>
    </w:p>
    <w:p w14:paraId="474117D5">
      <w:pPr>
        <w:ind w:left="0" w:leftChars="0" w:firstLine="0" w:firstLineChars="0"/>
      </w:pPr>
    </w:p>
    <w:sectPr>
      <w:pgSz w:w="11906" w:h="16838"/>
      <w:pgMar w:top="2098" w:right="1531" w:bottom="1984" w:left="153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945C0">
    <w:pPr>
      <w:pStyle w:val="3"/>
      <w:ind w:firstLine="560"/>
      <w:rPr>
        <w:rFonts w:ascii="Times New Roman" w:hAnsi="Times New Roman" w:cs="Times New Roman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6ABE8">
    <w:pPr>
      <w:pStyle w:val="3"/>
      <w:ind w:firstLine="0" w:firstLineChars="0"/>
      <w:rPr>
        <w:rFonts w:ascii="Times New Roman" w:hAnsi="Times New Roman" w:cs="Times New Roman" w:eastAsia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E53E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70101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DA4B5">
    <w:pPr>
      <w:pStyle w:val="6"/>
      <w:ind w:firstLine="64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37637"/>
    <w:rsid w:val="05183D26"/>
    <w:rsid w:val="42237637"/>
    <w:rsid w:val="4AA220C6"/>
    <w:rsid w:val="6D1941CD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eastAsia="仿宋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40" w:after="140" w:line="360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ind w:firstLine="0" w:firstLineChars="0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2026-07-20T05:34:00Z</dcterms:created>
  <dc:creator>小兔兔-₁₂₃⁴⁵⁶₇₈₉ོ ✨</dc:creator>
  <cp:lastModifiedBy>小兔兔-₁₂₃⁴⁵⁶₇₈₉ོ ✨</cp:lastModifiedBy>
  <dcterms:modified xsi:type="dcterms:W3CDTF">2026-07-20T05:35:06Z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22693A2BF23C4C2D8E613F530437E50E_11</vt:lpwstr>
  </property>
  <property fmtid="{D5CDD505-2E9C-101B-9397-08002B2CF9AE}" pid="4" name="KSOTemplateDocerSaveRecord">
    <vt:lpwstr>eyJoZGlkIjoiOGIyMjhkY2EzOWJiMmYxZTY4NTRkZmVmZWI1ZDAxNjQiLCJ1c2VySWQiOiI1Nzk1NTk5MzcifQ==</vt:lpwstr>
  </property>
</Properties>
</file>